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93" w:rsidRPr="00194193" w:rsidRDefault="00194193" w:rsidP="00230ACE">
      <w:pPr>
        <w:pStyle w:val="ToolkitHeading1"/>
        <w:jc w:val="left"/>
        <w:rPr>
          <w:caps w:val="0"/>
          <w:color w:val="auto"/>
          <w:sz w:val="30"/>
          <w:szCs w:val="30"/>
        </w:rPr>
      </w:pPr>
      <w:bookmarkStart w:id="0" w:name="_Toc512870049"/>
      <w:r w:rsidRPr="00194193">
        <w:rPr>
          <w:color w:val="auto"/>
          <w:sz w:val="30"/>
          <w:szCs w:val="30"/>
        </w:rPr>
        <w:t>Companion Document</w:t>
      </w:r>
      <w:r>
        <w:rPr>
          <w:color w:val="auto"/>
          <w:sz w:val="30"/>
          <w:szCs w:val="30"/>
        </w:rPr>
        <w:t xml:space="preserve"> </w:t>
      </w:r>
      <w:bookmarkStart w:id="1" w:name="_GoBack"/>
      <w:bookmarkEnd w:id="1"/>
      <w:r>
        <w:rPr>
          <w:color w:val="auto"/>
          <w:sz w:val="30"/>
          <w:szCs w:val="30"/>
        </w:rPr>
        <w:br/>
      </w:r>
      <w:r w:rsidRPr="00194193">
        <w:rPr>
          <w:b w:val="0"/>
          <w:caps w:val="0"/>
          <w:color w:val="auto"/>
          <w:sz w:val="30"/>
          <w:szCs w:val="30"/>
        </w:rPr>
        <w:t>to the</w:t>
      </w:r>
      <w:r>
        <w:rPr>
          <w:caps w:val="0"/>
          <w:color w:val="auto"/>
          <w:sz w:val="30"/>
          <w:szCs w:val="30"/>
        </w:rPr>
        <w:t xml:space="preserve"> </w:t>
      </w:r>
      <w:r>
        <w:rPr>
          <w:caps w:val="0"/>
          <w:color w:val="auto"/>
          <w:sz w:val="30"/>
          <w:szCs w:val="30"/>
        </w:rPr>
        <w:br/>
        <w:t>Emergency Management Planning Toolkit for Local Authorities and First Nations</w:t>
      </w:r>
    </w:p>
    <w:p w:rsidR="00A565D4" w:rsidRPr="00230ACE" w:rsidRDefault="00A565D4" w:rsidP="00230ACE">
      <w:pPr>
        <w:pStyle w:val="ToolkitHeading1"/>
        <w:jc w:val="left"/>
        <w:rPr>
          <w:sz w:val="52"/>
          <w:szCs w:val="54"/>
        </w:rPr>
      </w:pPr>
      <w:r w:rsidRPr="000F3B9D">
        <w:rPr>
          <w:b w:val="0"/>
          <w:color w:val="345C8C"/>
          <w:sz w:val="52"/>
          <w:szCs w:val="54"/>
        </w:rPr>
        <w:t>emergency management</w:t>
      </w:r>
      <w:r w:rsidRPr="00E64147">
        <w:rPr>
          <w:color w:val="345C8C"/>
          <w:sz w:val="52"/>
          <w:szCs w:val="54"/>
        </w:rPr>
        <w:t xml:space="preserve"> </w:t>
      </w:r>
      <w:r w:rsidR="00230ACE" w:rsidRPr="00E64147">
        <w:rPr>
          <w:color w:val="345C8C"/>
          <w:sz w:val="52"/>
          <w:szCs w:val="54"/>
        </w:rPr>
        <w:br/>
      </w:r>
      <w:r w:rsidR="00B234DA">
        <w:rPr>
          <w:color w:val="345C8C"/>
          <w:sz w:val="52"/>
          <w:szCs w:val="54"/>
        </w:rPr>
        <w:t>Planning process Checklist</w:t>
      </w:r>
      <w:r w:rsidRPr="00E64147">
        <w:rPr>
          <w:color w:val="345C8C"/>
          <w:sz w:val="52"/>
          <w:szCs w:val="54"/>
        </w:rPr>
        <w:t xml:space="preserve"> </w:t>
      </w:r>
      <w:r w:rsidR="00E64147">
        <w:rPr>
          <w:sz w:val="52"/>
          <w:szCs w:val="54"/>
        </w:rPr>
        <w:br/>
      </w:r>
      <w:r w:rsidRPr="00230ACE">
        <w:rPr>
          <w:sz w:val="52"/>
          <w:szCs w:val="54"/>
        </w:rPr>
        <w:t>for local au</w:t>
      </w:r>
      <w:r w:rsidR="00230ACE" w:rsidRPr="00230ACE">
        <w:rPr>
          <w:sz w:val="52"/>
          <w:szCs w:val="54"/>
        </w:rPr>
        <w:t>t</w:t>
      </w:r>
      <w:r w:rsidRPr="00230ACE">
        <w:rPr>
          <w:sz w:val="52"/>
          <w:szCs w:val="54"/>
        </w:rPr>
        <w:t xml:space="preserve">horities </w:t>
      </w:r>
      <w:r w:rsidR="00E64147">
        <w:rPr>
          <w:sz w:val="52"/>
          <w:szCs w:val="54"/>
        </w:rPr>
        <w:br/>
      </w:r>
      <w:r w:rsidRPr="00230ACE">
        <w:rPr>
          <w:sz w:val="52"/>
          <w:szCs w:val="54"/>
        </w:rPr>
        <w:t>and First Nations</w:t>
      </w:r>
      <w:bookmarkEnd w:id="0"/>
    </w:p>
    <w:p w:rsidR="00230ACE" w:rsidRDefault="000531EF" w:rsidP="00230ACE">
      <w:pPr>
        <w:rPr>
          <w:rFonts w:cstheme="minorHAnsi"/>
          <w:color w:val="345C8C"/>
          <w:sz w:val="32"/>
          <w:szCs w:val="40"/>
        </w:rPr>
      </w:pPr>
      <w:r w:rsidRPr="000531EF">
        <w:rPr>
          <w:rFonts w:cstheme="minorHAnsi"/>
          <w:color w:val="345C8C"/>
          <w:sz w:val="32"/>
          <w:szCs w:val="40"/>
        </w:rPr>
        <w:t>A</w:t>
      </w:r>
      <w:r w:rsidR="00B234DA">
        <w:rPr>
          <w:rFonts w:cstheme="minorHAnsi"/>
          <w:color w:val="345C8C"/>
          <w:sz w:val="32"/>
          <w:szCs w:val="40"/>
        </w:rPr>
        <w:t xml:space="preserve"> </w:t>
      </w:r>
      <w:r w:rsidR="00D02C0F">
        <w:rPr>
          <w:rFonts w:cstheme="minorHAnsi"/>
          <w:color w:val="345C8C"/>
          <w:sz w:val="32"/>
          <w:szCs w:val="40"/>
        </w:rPr>
        <w:t xml:space="preserve">Master </w:t>
      </w:r>
      <w:r w:rsidR="00B234DA">
        <w:rPr>
          <w:rFonts w:cstheme="minorHAnsi"/>
          <w:color w:val="345C8C"/>
          <w:sz w:val="32"/>
          <w:szCs w:val="40"/>
        </w:rPr>
        <w:t>Checklist to Guide the Planning, Development and Maintenance of Emergency Management Plans</w:t>
      </w:r>
      <w:r w:rsidR="00B234DA" w:rsidRPr="000531EF">
        <w:rPr>
          <w:rFonts w:cstheme="minorHAnsi"/>
          <w:color w:val="345C8C"/>
          <w:sz w:val="32"/>
          <w:szCs w:val="40"/>
        </w:rPr>
        <w:t xml:space="preserve"> </w:t>
      </w:r>
      <w:r w:rsidRPr="000531EF">
        <w:rPr>
          <w:rFonts w:cstheme="minorHAnsi"/>
          <w:color w:val="345C8C"/>
          <w:sz w:val="32"/>
          <w:szCs w:val="40"/>
        </w:rPr>
        <w:t>for Local Authorities and First Nations</w:t>
      </w:r>
      <w:r w:rsidR="00230ACE">
        <w:rPr>
          <w:rFonts w:cstheme="minorHAnsi"/>
          <w:color w:val="345C8C"/>
          <w:sz w:val="32"/>
          <w:szCs w:val="40"/>
        </w:rPr>
        <w:t xml:space="preserve"> in British Columbia</w:t>
      </w:r>
    </w:p>
    <w:p w:rsidR="00230ACE" w:rsidRDefault="00230ACE" w:rsidP="00230ACE">
      <w:pPr>
        <w:jc w:val="center"/>
        <w:rPr>
          <w:rFonts w:cstheme="minorHAnsi"/>
          <w:color w:val="345C8C"/>
          <w:sz w:val="32"/>
          <w:szCs w:val="40"/>
        </w:rPr>
      </w:pPr>
    </w:p>
    <w:p w:rsidR="00230ACE" w:rsidRDefault="00987393" w:rsidP="00230ACE">
      <w:pPr>
        <w:rPr>
          <w:rFonts w:cstheme="minorHAnsi"/>
          <w:color w:val="345C8C"/>
          <w:sz w:val="32"/>
          <w:szCs w:val="40"/>
        </w:rPr>
      </w:pPr>
      <w:r>
        <w:rPr>
          <w:rFonts w:cstheme="minorHAnsi"/>
          <w:color w:val="345C8C"/>
          <w:sz w:val="32"/>
          <w:szCs w:val="40"/>
        </w:rPr>
        <w:t>1</w:t>
      </w:r>
      <w:r w:rsidRPr="00987393">
        <w:rPr>
          <w:rFonts w:cstheme="minorHAnsi"/>
          <w:color w:val="345C8C"/>
          <w:sz w:val="32"/>
          <w:szCs w:val="40"/>
          <w:vertAlign w:val="superscript"/>
        </w:rPr>
        <w:t>st</w:t>
      </w:r>
      <w:r w:rsidR="006D2EC9">
        <w:rPr>
          <w:rFonts w:cstheme="minorHAnsi"/>
          <w:color w:val="345C8C"/>
          <w:sz w:val="32"/>
          <w:szCs w:val="40"/>
        </w:rPr>
        <w:t xml:space="preserve"> Edition</w:t>
      </w:r>
    </w:p>
    <w:p w:rsidR="00230ACE" w:rsidRDefault="00230ACE" w:rsidP="00230ACE">
      <w:pPr>
        <w:jc w:val="center"/>
        <w:rPr>
          <w:rFonts w:cstheme="minorHAnsi"/>
          <w:color w:val="345C8C"/>
          <w:sz w:val="32"/>
          <w:szCs w:val="40"/>
        </w:rPr>
      </w:pPr>
    </w:p>
    <w:p w:rsidR="00230ACE" w:rsidRDefault="00230ACE" w:rsidP="00230ACE">
      <w:pPr>
        <w:jc w:val="center"/>
        <w:rPr>
          <w:rFonts w:cstheme="minorHAnsi"/>
          <w:color w:val="345C8C"/>
          <w:sz w:val="32"/>
          <w:szCs w:val="40"/>
        </w:rPr>
      </w:pPr>
    </w:p>
    <w:p w:rsidR="00230ACE" w:rsidRDefault="00230ACE" w:rsidP="00230ACE">
      <w:pPr>
        <w:jc w:val="center"/>
        <w:rPr>
          <w:rFonts w:cstheme="minorHAnsi"/>
          <w:color w:val="345C8C"/>
          <w:sz w:val="32"/>
          <w:szCs w:val="40"/>
        </w:rPr>
      </w:pPr>
    </w:p>
    <w:p w:rsidR="00194193" w:rsidRDefault="00194193" w:rsidP="00E64147">
      <w:pPr>
        <w:jc w:val="center"/>
        <w:rPr>
          <w:rFonts w:cstheme="minorHAnsi"/>
          <w:color w:val="345C8C"/>
          <w:sz w:val="32"/>
          <w:szCs w:val="40"/>
        </w:rPr>
      </w:pPr>
    </w:p>
    <w:p w:rsidR="000531EF" w:rsidRDefault="00987393" w:rsidP="00E64147">
      <w:pPr>
        <w:jc w:val="center"/>
        <w:rPr>
          <w:rFonts w:cstheme="minorHAnsi"/>
          <w:color w:val="345C8C"/>
          <w:sz w:val="32"/>
          <w:szCs w:val="40"/>
        </w:rPr>
      </w:pPr>
      <w:r>
        <w:rPr>
          <w:rFonts w:cstheme="minorHAnsi"/>
          <w:noProof/>
          <w:color w:val="345C8C"/>
          <w:sz w:val="32"/>
          <w:szCs w:val="40"/>
          <w:lang w:eastAsia="en-CA"/>
        </w:rPr>
        <w:lastRenderedPageBreak/>
        <w:drawing>
          <wp:inline distT="0" distB="0" distL="0" distR="0" wp14:anchorId="7C3F09BB" wp14:editId="19653BA1">
            <wp:extent cx="5943600" cy="17303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C Col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D6" w:rsidRPr="004366D6" w:rsidRDefault="004366D6" w:rsidP="004366D6">
      <w:pPr>
        <w:pStyle w:val="ToolkitHeading2ToC"/>
      </w:pPr>
      <w:bookmarkStart w:id="2" w:name="_Toc512870269"/>
      <w:r>
        <w:t>MASTER PLANNING PROCESS CHECKLIST</w:t>
      </w:r>
      <w:bookmarkEnd w:id="2"/>
    </w:p>
    <w:p w:rsidR="009761A1" w:rsidRDefault="00D20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366D6" w:rsidRPr="00D208D0">
        <w:rPr>
          <w:rStyle w:val="ToolkitLinkResourceChar"/>
        </w:rPr>
        <w:t>Emergency Management Planning Guide</w:t>
      </w:r>
      <w:r w:rsidRPr="00D208D0">
        <w:rPr>
          <w:rStyle w:val="ToolkitLinkResourceChar"/>
        </w:rPr>
        <w:t xml:space="preserve"> for Local Authorities and First Nations</w:t>
      </w:r>
      <w:r>
        <w:rPr>
          <w:rStyle w:val="ToolkitLinkResourceChar"/>
        </w:rPr>
        <w:t xml:space="preserve"> </w:t>
      </w:r>
      <w:r w:rsidRPr="00D208D0">
        <w:rPr>
          <w:rStyle w:val="ToolkitLinkResourceChar"/>
          <w:i w:val="0"/>
          <w:color w:val="000000" w:themeColor="text1"/>
        </w:rPr>
        <w:t>(Guide)</w:t>
      </w:r>
      <w:r w:rsidR="004366D6" w:rsidRPr="00D208D0">
        <w:rPr>
          <w:rFonts w:ascii="Arial" w:hAnsi="Arial" w:cs="Arial"/>
          <w:i/>
          <w:color w:val="000000" w:themeColor="text1"/>
        </w:rPr>
        <w:t xml:space="preserve"> </w:t>
      </w:r>
      <w:r w:rsidR="004366D6" w:rsidRPr="009B458E">
        <w:rPr>
          <w:rFonts w:ascii="Arial" w:hAnsi="Arial" w:cs="Arial"/>
        </w:rPr>
        <w:t>recommends ten steps for planning, developing and maintaining an emergency management plan. Below you will find a</w:t>
      </w:r>
      <w:r>
        <w:rPr>
          <w:rFonts w:ascii="Arial" w:hAnsi="Arial" w:cs="Arial"/>
        </w:rPr>
        <w:t>n adaptable version of Master C</w:t>
      </w:r>
      <w:r w:rsidR="004366D6" w:rsidRPr="009B458E">
        <w:rPr>
          <w:rFonts w:ascii="Arial" w:hAnsi="Arial" w:cs="Arial"/>
        </w:rPr>
        <w:t>hecklist</w:t>
      </w:r>
      <w:r>
        <w:rPr>
          <w:rFonts w:ascii="Arial" w:hAnsi="Arial" w:cs="Arial"/>
        </w:rPr>
        <w:t xml:space="preserve"> found within the Guide, which outlines the ten steps and sub-steps and can be tailored to your planning context. </w:t>
      </w:r>
    </w:p>
    <w:tbl>
      <w:tblPr>
        <w:tblStyle w:val="TableGrid"/>
        <w:tblpPr w:leftFromText="180" w:rightFromText="180" w:vertAnchor="text" w:horzAnchor="margin" w:tblpX="74" w:tblpY="199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194193" w:rsidRPr="00CA7A7A" w:rsidTr="000B68FC">
        <w:trPr>
          <w:trHeight w:val="556"/>
        </w:trPr>
        <w:tc>
          <w:tcPr>
            <w:tcW w:w="8046" w:type="dxa"/>
            <w:tcBorders>
              <w:bottom w:val="single" w:sz="4" w:space="0" w:color="A6A6A6" w:themeColor="background1" w:themeShade="A6"/>
            </w:tcBorders>
            <w:shd w:val="clear" w:color="auto" w:fill="DBE5F1"/>
            <w:vAlign w:val="center"/>
          </w:tcPr>
          <w:p w:rsidR="00194193" w:rsidRPr="000D0CA9" w:rsidRDefault="00194193" w:rsidP="000B68FC">
            <w:pPr>
              <w:rPr>
                <w:rFonts w:cstheme="minorHAnsi"/>
                <w:b/>
                <w:color w:val="345C8C"/>
                <w:sz w:val="24"/>
                <w:szCs w:val="24"/>
              </w:rPr>
            </w:pPr>
            <w:bookmarkStart w:id="3" w:name="_Hlk531163433"/>
            <w:r w:rsidRPr="000D0CA9">
              <w:rPr>
                <w:rFonts w:cstheme="minorHAnsi"/>
                <w:b/>
                <w:color w:val="345C8C"/>
                <w:sz w:val="24"/>
                <w:szCs w:val="24"/>
              </w:rPr>
              <w:t>EMERGENCY MANAGEMENT PLANNING STEPS AND TASKS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DBE5F1"/>
            <w:vAlign w:val="center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rPr>
                <w:rFonts w:cstheme="minorHAnsi"/>
                <w:b/>
                <w:color w:val="345C8C"/>
                <w:sz w:val="24"/>
                <w:szCs w:val="24"/>
              </w:rPr>
            </w:pPr>
            <w:r w:rsidRPr="000D0CA9">
              <w:rPr>
                <w:rFonts w:cstheme="minorHAnsi"/>
                <w:b/>
                <w:color w:val="345C8C"/>
                <w:sz w:val="24"/>
                <w:szCs w:val="24"/>
              </w:rPr>
              <w:t>Completed</w:t>
            </w:r>
          </w:p>
        </w:tc>
      </w:tr>
      <w:tr w:rsidR="00194193" w:rsidRPr="00B234DA" w:rsidTr="000B68FC">
        <w:trPr>
          <w:trHeight w:val="248"/>
        </w:trPr>
        <w:tc>
          <w:tcPr>
            <w:tcW w:w="8046" w:type="dxa"/>
            <w:shd w:val="clear" w:color="auto" w:fill="345C8C"/>
            <w:vAlign w:val="center"/>
          </w:tcPr>
          <w:p w:rsidR="00194193" w:rsidRPr="00CA7A7A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CA7A7A">
              <w:rPr>
                <w:rFonts w:cstheme="minorHAnsi"/>
                <w:b/>
                <w:color w:val="FFFFFF" w:themeColor="background1"/>
              </w:rPr>
              <w:t>Determine the planning context</w:t>
            </w:r>
          </w:p>
        </w:tc>
        <w:tc>
          <w:tcPr>
            <w:tcW w:w="1418" w:type="dxa"/>
            <w:shd w:val="clear" w:color="auto" w:fill="345C8C"/>
          </w:tcPr>
          <w:p w:rsidR="00194193" w:rsidRPr="00CA7A7A" w:rsidRDefault="00194193" w:rsidP="000B68F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Align with strategic initiatives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Complete an inventory of existing plans and other documents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Identify the authorization framework</w:t>
            </w:r>
            <w:r w:rsidRPr="00E2152C">
              <w:rPr>
                <w:rFonts w:cstheme="minorHAnsi"/>
              </w:rPr>
              <w:t xml:space="preserve"> for your plan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the </w:t>
            </w:r>
            <w:r w:rsidRPr="00E2152C">
              <w:rPr>
                <w:rFonts w:cstheme="minorHAnsi"/>
              </w:rPr>
              <w:t>bou</w:t>
            </w:r>
            <w:r>
              <w:rPr>
                <w:rFonts w:cstheme="minorHAnsi"/>
              </w:rPr>
              <w:t>ndaries and demographics of your community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F262FD" w:rsidRDefault="00194193" w:rsidP="000B68FC">
            <w:pPr>
              <w:ind w:left="720"/>
              <w:rPr>
                <w:rFonts w:cstheme="minorHAnsi"/>
              </w:rPr>
            </w:pPr>
            <w:r w:rsidRPr="00F262FD">
              <w:rPr>
                <w:rFonts w:cstheme="minorHAnsi"/>
              </w:rPr>
              <w:t>Align your plan with regional initiatives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169"/>
        </w:trPr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Identify and obtain the necessary resources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224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Identify partners and</w:t>
            </w:r>
            <w:r w:rsidRPr="000D0CA9">
              <w:rPr>
                <w:rFonts w:cstheme="minorHAnsi"/>
                <w:b/>
                <w:color w:val="FFFFFF" w:themeColor="background1"/>
              </w:rPr>
              <w:t xml:space="preserve"> their roles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Create a compreh</w:t>
            </w:r>
            <w:r>
              <w:rPr>
                <w:rFonts w:cstheme="minorHAnsi"/>
              </w:rPr>
              <w:t>ensive partners</w:t>
            </w:r>
            <w:r w:rsidRPr="00E2152C">
              <w:rPr>
                <w:rFonts w:cstheme="minorHAnsi"/>
              </w:rPr>
              <w:t xml:space="preserve"> list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Create an engagement plan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FA0ECA" w:rsidRDefault="00194193" w:rsidP="000B68FC">
            <w:pPr>
              <w:ind w:left="720"/>
              <w:rPr>
                <w:rFonts w:cstheme="minorHAnsi"/>
              </w:rPr>
            </w:pPr>
            <w:r w:rsidRPr="00FA0ECA">
              <w:rPr>
                <w:rFonts w:cstheme="minorHAnsi"/>
              </w:rPr>
              <w:t xml:space="preserve">Organize a planning committee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299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 xml:space="preserve"> Review hazards, risks &amp; vulnerabilities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Review current HRVA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Consider conducting a new HRVA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Consider developing hazard-specific &amp; functional annexes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251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 xml:space="preserve">Determine purpose &amp; scope 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Write a purpose statement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Define the plan’s objectives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Identify the scope of your plan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2152C">
              <w:rPr>
                <w:rFonts w:cstheme="minorHAnsi"/>
              </w:rPr>
              <w:t>dentify and examine assumptions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239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 xml:space="preserve">Collect data and engage </w:t>
            </w:r>
            <w:r>
              <w:rPr>
                <w:rFonts w:cstheme="minorHAnsi"/>
                <w:b/>
                <w:color w:val="FFFFFF" w:themeColor="background1"/>
              </w:rPr>
              <w:t>partners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Review existing plans and other documentation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Identify knowledge gaps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lastRenderedPageBreak/>
              <w:t xml:space="preserve">Collect data from </w:t>
            </w:r>
            <w:r>
              <w:rPr>
                <w:rFonts w:cstheme="minorHAnsi"/>
              </w:rPr>
              <w:t>partners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199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>Create the plan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Review template and adapt as desired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Write plan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Name and date the plan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131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tabs>
                <w:tab w:val="left" w:pos="2837"/>
              </w:tabs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>Obtain feedback &amp; approval</w:t>
            </w:r>
            <w:r w:rsidRPr="000D0CA9">
              <w:rPr>
                <w:rFonts w:cstheme="minorHAnsi"/>
                <w:b/>
                <w:color w:val="FFFFFF" w:themeColor="background1"/>
              </w:rPr>
              <w:tab/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Obtain feedback from </w:t>
            </w:r>
            <w:r>
              <w:rPr>
                <w:rFonts w:cstheme="minorHAnsi"/>
              </w:rPr>
              <w:t>partners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Review feedback and integrate into the plan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Obtain official approval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Distribute plan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257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>Conduct orientations &amp; training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Identify who will require an orientation to the plan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E2152C">
              <w:rPr>
                <w:rFonts w:cstheme="minorHAnsi"/>
              </w:rPr>
              <w:t>onduct plan orientation and training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Develop an emergency operations centre staff training database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Identify additional training requirements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Develop an ongoing training strategy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257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>Exercise the plan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Develop a multi-year exercise plan to test and validate the plan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rPr>
          <w:trHeight w:val="251"/>
        </w:trPr>
        <w:tc>
          <w:tcPr>
            <w:tcW w:w="8046" w:type="dxa"/>
            <w:shd w:val="clear" w:color="auto" w:fill="345C8C"/>
            <w:vAlign w:val="center"/>
          </w:tcPr>
          <w:p w:rsidR="00194193" w:rsidRPr="000D0CA9" w:rsidRDefault="00194193" w:rsidP="000B68F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color w:val="FFFFFF" w:themeColor="background1"/>
              </w:rPr>
            </w:pPr>
            <w:r w:rsidRPr="000D0CA9">
              <w:rPr>
                <w:rFonts w:cstheme="minorHAnsi"/>
                <w:b/>
                <w:color w:val="FFFFFF" w:themeColor="background1"/>
              </w:rPr>
              <w:t>Evaluate &amp; Maintain the Plan</w:t>
            </w:r>
          </w:p>
        </w:tc>
        <w:tc>
          <w:tcPr>
            <w:tcW w:w="1418" w:type="dxa"/>
            <w:shd w:val="clear" w:color="auto" w:fill="345C8C"/>
          </w:tcPr>
          <w:p w:rsidR="00194193" w:rsidRPr="000D0CA9" w:rsidRDefault="00194193" w:rsidP="000B68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Identify the owner and custodian of the plan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 xml:space="preserve">Develop a maintenance schedule 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Review plan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194193" w:rsidRPr="00B234DA" w:rsidTr="000B68FC">
        <w:tc>
          <w:tcPr>
            <w:tcW w:w="8046" w:type="dxa"/>
          </w:tcPr>
          <w:p w:rsidR="00194193" w:rsidRPr="00E2152C" w:rsidRDefault="00194193" w:rsidP="000B68FC">
            <w:pPr>
              <w:ind w:left="720"/>
              <w:rPr>
                <w:rFonts w:cstheme="minorHAnsi"/>
              </w:rPr>
            </w:pPr>
            <w:r w:rsidRPr="00E2152C">
              <w:rPr>
                <w:rFonts w:cstheme="minorHAnsi"/>
              </w:rPr>
              <w:t>Distribute amendments</w:t>
            </w:r>
          </w:p>
        </w:tc>
        <w:tc>
          <w:tcPr>
            <w:tcW w:w="1418" w:type="dxa"/>
          </w:tcPr>
          <w:p w:rsidR="00194193" w:rsidRPr="00E2152C" w:rsidRDefault="00194193" w:rsidP="000B68F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bookmarkEnd w:id="3"/>
    </w:tbl>
    <w:p w:rsidR="00D208D0" w:rsidRPr="009B458E" w:rsidRDefault="00D208D0" w:rsidP="00D208D0">
      <w:pPr>
        <w:rPr>
          <w:rStyle w:val="ToolkitLinkResourceChar"/>
        </w:rPr>
      </w:pPr>
    </w:p>
    <w:sectPr w:rsidR="00D208D0" w:rsidRPr="009B458E" w:rsidSect="00E64147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6D" w:rsidRDefault="0085696D" w:rsidP="00230ACE">
      <w:pPr>
        <w:spacing w:after="0" w:line="240" w:lineRule="auto"/>
      </w:pPr>
      <w:r>
        <w:separator/>
      </w:r>
    </w:p>
  </w:endnote>
  <w:endnote w:type="continuationSeparator" w:id="0">
    <w:p w:rsidR="0085696D" w:rsidRDefault="0085696D" w:rsidP="0023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839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96D" w:rsidRDefault="00856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96D" w:rsidRDefault="00ED4800" w:rsidP="00F64863">
    <w:pPr>
      <w:pStyle w:val="InfoBoxHeading"/>
    </w:pPr>
    <w:r>
      <w:t xml:space="preserve">Emergency Management Planning </w:t>
    </w:r>
    <w:r w:rsidR="00D208D0">
      <w:t>Toolkit-  Master</w:t>
    </w:r>
    <w:r>
      <w:t xml:space="preserve"> Checklist</w:t>
    </w:r>
    <w:r w:rsidR="00D208D0">
      <w:t xml:space="preserve"> (adaptable)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6D" w:rsidRDefault="0085696D" w:rsidP="00230ACE">
      <w:pPr>
        <w:spacing w:after="0" w:line="240" w:lineRule="auto"/>
      </w:pPr>
      <w:r>
        <w:separator/>
      </w:r>
    </w:p>
  </w:footnote>
  <w:footnote w:type="continuationSeparator" w:id="0">
    <w:p w:rsidR="0085696D" w:rsidRDefault="0085696D" w:rsidP="0023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978090"/>
      <w:docPartObj>
        <w:docPartGallery w:val="Watermarks"/>
        <w:docPartUnique/>
      </w:docPartObj>
    </w:sdtPr>
    <w:sdtEndPr/>
    <w:sdtContent>
      <w:p w:rsidR="0085696D" w:rsidRDefault="0019419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539"/>
    <w:multiLevelType w:val="hybridMultilevel"/>
    <w:tmpl w:val="20C2FF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FB6"/>
    <w:multiLevelType w:val="hybridMultilevel"/>
    <w:tmpl w:val="8BE8B27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842"/>
    <w:multiLevelType w:val="hybridMultilevel"/>
    <w:tmpl w:val="F5EE4880"/>
    <w:lvl w:ilvl="0" w:tplc="E8D6D8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ADC3984"/>
    <w:multiLevelType w:val="hybridMultilevel"/>
    <w:tmpl w:val="CEE4A46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D59AA"/>
    <w:multiLevelType w:val="hybridMultilevel"/>
    <w:tmpl w:val="F8AECF5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524E9"/>
    <w:multiLevelType w:val="hybridMultilevel"/>
    <w:tmpl w:val="61A8C1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06A5A"/>
    <w:multiLevelType w:val="hybridMultilevel"/>
    <w:tmpl w:val="B42ED9E2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5B52ED90">
      <w:start w:val="1"/>
      <w:numFmt w:val="bullet"/>
      <w:lvlText w:val=""/>
      <w:lvlJc w:val="left"/>
      <w:pPr>
        <w:ind w:left="1364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950BFF"/>
    <w:multiLevelType w:val="hybridMultilevel"/>
    <w:tmpl w:val="BC025266"/>
    <w:lvl w:ilvl="0" w:tplc="6FF6A0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90D41"/>
    <w:multiLevelType w:val="hybridMultilevel"/>
    <w:tmpl w:val="C3C8845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E2443"/>
    <w:multiLevelType w:val="hybridMultilevel"/>
    <w:tmpl w:val="A650D8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F7C64"/>
    <w:multiLevelType w:val="hybridMultilevel"/>
    <w:tmpl w:val="BBBCB09E"/>
    <w:lvl w:ilvl="0" w:tplc="34529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C50B4"/>
    <w:multiLevelType w:val="hybridMultilevel"/>
    <w:tmpl w:val="C2A4BE34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8A20BC"/>
    <w:multiLevelType w:val="hybridMultilevel"/>
    <w:tmpl w:val="BAE8CA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C2F4F"/>
    <w:multiLevelType w:val="hybridMultilevel"/>
    <w:tmpl w:val="B65A12C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B5D8F"/>
    <w:multiLevelType w:val="hybridMultilevel"/>
    <w:tmpl w:val="1BECA9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0151"/>
    <w:multiLevelType w:val="hybridMultilevel"/>
    <w:tmpl w:val="68DEA292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5626AA"/>
    <w:multiLevelType w:val="hybridMultilevel"/>
    <w:tmpl w:val="E8F466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E5672"/>
    <w:multiLevelType w:val="hybridMultilevel"/>
    <w:tmpl w:val="2E8281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343C"/>
    <w:multiLevelType w:val="hybridMultilevel"/>
    <w:tmpl w:val="52E4555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42951"/>
    <w:multiLevelType w:val="hybridMultilevel"/>
    <w:tmpl w:val="DD049318"/>
    <w:lvl w:ilvl="0" w:tplc="A830DD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E107E"/>
    <w:multiLevelType w:val="hybridMultilevel"/>
    <w:tmpl w:val="D38AF58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0A7D6A"/>
    <w:multiLevelType w:val="hybridMultilevel"/>
    <w:tmpl w:val="5F883ECE"/>
    <w:lvl w:ilvl="0" w:tplc="E384F2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024A"/>
    <w:multiLevelType w:val="multilevel"/>
    <w:tmpl w:val="5442B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B27C58"/>
    <w:multiLevelType w:val="hybridMultilevel"/>
    <w:tmpl w:val="295644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F7552"/>
    <w:multiLevelType w:val="hybridMultilevel"/>
    <w:tmpl w:val="2048B308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5EC672B"/>
    <w:multiLevelType w:val="hybridMultilevel"/>
    <w:tmpl w:val="5EDA62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D4A21"/>
    <w:multiLevelType w:val="hybridMultilevel"/>
    <w:tmpl w:val="133C26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75603"/>
    <w:multiLevelType w:val="hybridMultilevel"/>
    <w:tmpl w:val="E1EA86A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069A5"/>
    <w:multiLevelType w:val="hybridMultilevel"/>
    <w:tmpl w:val="1C0A00D4"/>
    <w:lvl w:ilvl="0" w:tplc="10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10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A54B2B"/>
    <w:multiLevelType w:val="hybridMultilevel"/>
    <w:tmpl w:val="D28A760A"/>
    <w:lvl w:ilvl="0" w:tplc="1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406684C"/>
    <w:multiLevelType w:val="hybridMultilevel"/>
    <w:tmpl w:val="F8F68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81320"/>
    <w:multiLevelType w:val="hybridMultilevel"/>
    <w:tmpl w:val="E280F0F8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AFB3D0D"/>
    <w:multiLevelType w:val="hybridMultilevel"/>
    <w:tmpl w:val="349CA1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5253"/>
    <w:multiLevelType w:val="multilevel"/>
    <w:tmpl w:val="E604B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C3F5BD9"/>
    <w:multiLevelType w:val="hybridMultilevel"/>
    <w:tmpl w:val="D5D87A8A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A4004A"/>
    <w:multiLevelType w:val="hybridMultilevel"/>
    <w:tmpl w:val="AB4AAB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F3277"/>
    <w:multiLevelType w:val="hybridMultilevel"/>
    <w:tmpl w:val="FB489624"/>
    <w:lvl w:ilvl="0" w:tplc="1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F757B88"/>
    <w:multiLevelType w:val="hybridMultilevel"/>
    <w:tmpl w:val="952676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32"/>
  </w:num>
  <w:num w:numId="5">
    <w:abstractNumId w:val="15"/>
  </w:num>
  <w:num w:numId="6">
    <w:abstractNumId w:val="6"/>
  </w:num>
  <w:num w:numId="7">
    <w:abstractNumId w:val="12"/>
  </w:num>
  <w:num w:numId="8">
    <w:abstractNumId w:val="30"/>
  </w:num>
  <w:num w:numId="9">
    <w:abstractNumId w:val="21"/>
  </w:num>
  <w:num w:numId="10">
    <w:abstractNumId w:val="24"/>
  </w:num>
  <w:num w:numId="11">
    <w:abstractNumId w:val="1"/>
  </w:num>
  <w:num w:numId="12">
    <w:abstractNumId w:val="23"/>
  </w:num>
  <w:num w:numId="13">
    <w:abstractNumId w:val="2"/>
  </w:num>
  <w:num w:numId="14">
    <w:abstractNumId w:val="3"/>
  </w:num>
  <w:num w:numId="15">
    <w:abstractNumId w:val="11"/>
  </w:num>
  <w:num w:numId="16">
    <w:abstractNumId w:val="2"/>
  </w:num>
  <w:num w:numId="17">
    <w:abstractNumId w:val="36"/>
  </w:num>
  <w:num w:numId="18">
    <w:abstractNumId w:val="35"/>
  </w:num>
  <w:num w:numId="19">
    <w:abstractNumId w:val="10"/>
  </w:num>
  <w:num w:numId="20">
    <w:abstractNumId w:val="27"/>
  </w:num>
  <w:num w:numId="21">
    <w:abstractNumId w:val="0"/>
  </w:num>
  <w:num w:numId="22">
    <w:abstractNumId w:val="19"/>
  </w:num>
  <w:num w:numId="23">
    <w:abstractNumId w:val="28"/>
  </w:num>
  <w:num w:numId="24">
    <w:abstractNumId w:val="20"/>
  </w:num>
  <w:num w:numId="25">
    <w:abstractNumId w:val="34"/>
  </w:num>
  <w:num w:numId="26">
    <w:abstractNumId w:val="8"/>
  </w:num>
  <w:num w:numId="27">
    <w:abstractNumId w:val="37"/>
  </w:num>
  <w:num w:numId="28">
    <w:abstractNumId w:val="5"/>
  </w:num>
  <w:num w:numId="29">
    <w:abstractNumId w:val="17"/>
  </w:num>
  <w:num w:numId="30">
    <w:abstractNumId w:val="14"/>
  </w:num>
  <w:num w:numId="31">
    <w:abstractNumId w:val="25"/>
  </w:num>
  <w:num w:numId="32">
    <w:abstractNumId w:val="16"/>
  </w:num>
  <w:num w:numId="33">
    <w:abstractNumId w:val="29"/>
  </w:num>
  <w:num w:numId="34">
    <w:abstractNumId w:val="31"/>
  </w:num>
  <w:num w:numId="35">
    <w:abstractNumId w:val="9"/>
  </w:num>
  <w:num w:numId="36">
    <w:abstractNumId w:val="26"/>
  </w:num>
  <w:num w:numId="37">
    <w:abstractNumId w:val="18"/>
  </w:num>
  <w:num w:numId="38">
    <w:abstractNumId w:val="7"/>
  </w:num>
  <w:num w:numId="39">
    <w:abstractNumId w:val="22"/>
  </w:num>
  <w:num w:numId="40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53"/>
    <w:rsid w:val="0002004F"/>
    <w:rsid w:val="00040C16"/>
    <w:rsid w:val="00041774"/>
    <w:rsid w:val="000513D2"/>
    <w:rsid w:val="000531EF"/>
    <w:rsid w:val="00060D4B"/>
    <w:rsid w:val="000763DC"/>
    <w:rsid w:val="000861C3"/>
    <w:rsid w:val="000B7892"/>
    <w:rsid w:val="000E0387"/>
    <w:rsid w:val="000F3B9D"/>
    <w:rsid w:val="001242F2"/>
    <w:rsid w:val="001530EF"/>
    <w:rsid w:val="00194193"/>
    <w:rsid w:val="001C3F81"/>
    <w:rsid w:val="001D7620"/>
    <w:rsid w:val="001F7544"/>
    <w:rsid w:val="00224EE6"/>
    <w:rsid w:val="00230ACE"/>
    <w:rsid w:val="00282765"/>
    <w:rsid w:val="002A4A4B"/>
    <w:rsid w:val="002E0DA7"/>
    <w:rsid w:val="002E186A"/>
    <w:rsid w:val="00310946"/>
    <w:rsid w:val="00320312"/>
    <w:rsid w:val="00331618"/>
    <w:rsid w:val="00372AD5"/>
    <w:rsid w:val="003B2553"/>
    <w:rsid w:val="003F1054"/>
    <w:rsid w:val="0040239B"/>
    <w:rsid w:val="00424089"/>
    <w:rsid w:val="00432B0E"/>
    <w:rsid w:val="004366D6"/>
    <w:rsid w:val="00475678"/>
    <w:rsid w:val="0047577C"/>
    <w:rsid w:val="004C21C5"/>
    <w:rsid w:val="004D4927"/>
    <w:rsid w:val="004E37EA"/>
    <w:rsid w:val="00561CDF"/>
    <w:rsid w:val="005F4B81"/>
    <w:rsid w:val="00613559"/>
    <w:rsid w:val="00683958"/>
    <w:rsid w:val="0068650B"/>
    <w:rsid w:val="00695443"/>
    <w:rsid w:val="006D2EC9"/>
    <w:rsid w:val="00742EAB"/>
    <w:rsid w:val="00817655"/>
    <w:rsid w:val="00836A39"/>
    <w:rsid w:val="00841B2A"/>
    <w:rsid w:val="0085288E"/>
    <w:rsid w:val="0085696D"/>
    <w:rsid w:val="008906F9"/>
    <w:rsid w:val="008A120F"/>
    <w:rsid w:val="00905F97"/>
    <w:rsid w:val="00923868"/>
    <w:rsid w:val="009260D3"/>
    <w:rsid w:val="0093298E"/>
    <w:rsid w:val="00967299"/>
    <w:rsid w:val="009761A1"/>
    <w:rsid w:val="009863F8"/>
    <w:rsid w:val="00987393"/>
    <w:rsid w:val="009B458E"/>
    <w:rsid w:val="009C1656"/>
    <w:rsid w:val="009F55F7"/>
    <w:rsid w:val="00A05B38"/>
    <w:rsid w:val="00A20BC5"/>
    <w:rsid w:val="00A565D4"/>
    <w:rsid w:val="00AB50BC"/>
    <w:rsid w:val="00AD37E7"/>
    <w:rsid w:val="00AD4F2C"/>
    <w:rsid w:val="00B234DA"/>
    <w:rsid w:val="00B37EEB"/>
    <w:rsid w:val="00BD0055"/>
    <w:rsid w:val="00C70445"/>
    <w:rsid w:val="00CC0E2B"/>
    <w:rsid w:val="00CC275B"/>
    <w:rsid w:val="00CF7689"/>
    <w:rsid w:val="00D02C0F"/>
    <w:rsid w:val="00D06A67"/>
    <w:rsid w:val="00D208D0"/>
    <w:rsid w:val="00D44C1A"/>
    <w:rsid w:val="00D71DA5"/>
    <w:rsid w:val="00D72A6E"/>
    <w:rsid w:val="00D81304"/>
    <w:rsid w:val="00DD4ADF"/>
    <w:rsid w:val="00DE7820"/>
    <w:rsid w:val="00E2152C"/>
    <w:rsid w:val="00E4044E"/>
    <w:rsid w:val="00E55891"/>
    <w:rsid w:val="00E609AE"/>
    <w:rsid w:val="00E64147"/>
    <w:rsid w:val="00E6753D"/>
    <w:rsid w:val="00ED4800"/>
    <w:rsid w:val="00EE3019"/>
    <w:rsid w:val="00EF301B"/>
    <w:rsid w:val="00F26017"/>
    <w:rsid w:val="00F62456"/>
    <w:rsid w:val="00F64863"/>
    <w:rsid w:val="00F71AC0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243A569B"/>
  <w15:docId w15:val="{6EE82665-2823-4DE9-8B82-6AE09E1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3298E"/>
    <w:pPr>
      <w:keepNext/>
      <w:keepLines/>
      <w:pBdr>
        <w:top w:val="single" w:sz="4" w:space="1" w:color="auto"/>
        <w:left w:val="single" w:sz="4" w:space="4" w:color="auto"/>
      </w:pBdr>
      <w:spacing w:before="200" w:after="0"/>
      <w:ind w:left="360" w:hanging="360"/>
      <w:outlineLvl w:val="2"/>
    </w:pPr>
    <w:rPr>
      <w:rFonts w:eastAsiaTheme="majorEastAsia" w:cs="Arial"/>
      <w:b/>
      <w:bCs/>
      <w:color w:val="345C8C"/>
      <w:sz w:val="32"/>
      <w:szCs w:val="32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5D4"/>
    <w:pPr>
      <w:spacing w:before="720"/>
    </w:pPr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5D4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531EF"/>
    <w:rPr>
      <w:color w:val="0000FF"/>
      <w:u w:val="single"/>
    </w:rPr>
  </w:style>
  <w:style w:type="paragraph" w:customStyle="1" w:styleId="ToolkitHeading1">
    <w:name w:val="ToolkitHeading1"/>
    <w:basedOn w:val="Title"/>
    <w:link w:val="ToolkitHeading1Char"/>
    <w:qFormat/>
    <w:rsid w:val="000531EF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oolkitHeading1Char">
    <w:name w:val="ToolkitHeading1 Char"/>
    <w:basedOn w:val="TitleChar"/>
    <w:link w:val="ToolkitHeading1"/>
    <w:rsid w:val="000531EF"/>
    <w:rPr>
      <w:rFonts w:eastAsiaTheme="minorEastAsia"/>
      <w:b/>
      <w:caps/>
      <w:color w:val="4F81BD" w:themeColor="accent1"/>
      <w:spacing w:val="10"/>
      <w:kern w:val="28"/>
      <w:sz w:val="44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CE"/>
  </w:style>
  <w:style w:type="paragraph" w:styleId="Footer">
    <w:name w:val="footer"/>
    <w:basedOn w:val="Normal"/>
    <w:link w:val="FooterChar"/>
    <w:uiPriority w:val="99"/>
    <w:unhideWhenUsed/>
    <w:rsid w:val="0023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CE"/>
  </w:style>
  <w:style w:type="paragraph" w:customStyle="1" w:styleId="ToolkitHeading2ToC">
    <w:name w:val="ToolkitHeading2_ToC"/>
    <w:basedOn w:val="Normal"/>
    <w:link w:val="ToolkitHeading2ToCChar"/>
    <w:qFormat/>
    <w:rsid w:val="00AB50BC"/>
    <w:pPr>
      <w:shd w:val="clear" w:color="auto" w:fill="345C8C"/>
    </w:pPr>
    <w:rPr>
      <w:rFonts w:cstheme="minorHAnsi"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59"/>
    <w:rsid w:val="0098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kitHeading2ToCChar">
    <w:name w:val="ToolkitHeading2_ToC Char"/>
    <w:basedOn w:val="DefaultParagraphFont"/>
    <w:link w:val="ToolkitHeading2ToC"/>
    <w:rsid w:val="00AB50BC"/>
    <w:rPr>
      <w:rFonts w:cstheme="minorHAnsi"/>
      <w:color w:val="FFFFFF" w:themeColor="background1"/>
      <w:sz w:val="36"/>
      <w:szCs w:val="36"/>
      <w:shd w:val="clear" w:color="auto" w:fill="345C8C"/>
    </w:rPr>
  </w:style>
  <w:style w:type="paragraph" w:customStyle="1" w:styleId="Default">
    <w:name w:val="Default"/>
    <w:rsid w:val="00987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3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298E"/>
    <w:rPr>
      <w:rFonts w:eastAsiaTheme="majorEastAsia" w:cs="Arial"/>
      <w:b/>
      <w:bCs/>
      <w:color w:val="345C8C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olkitHeading3">
    <w:name w:val="ToolkitHeading3"/>
    <w:basedOn w:val="Heading3"/>
    <w:link w:val="ToolkitHeading3Char"/>
    <w:qFormat/>
    <w:rsid w:val="0093298E"/>
    <w:pPr>
      <w:pBdr>
        <w:top w:val="single" w:sz="4" w:space="1" w:color="1F497D" w:themeColor="text2"/>
        <w:left w:val="single" w:sz="4" w:space="4" w:color="1F497D" w:themeColor="text2"/>
      </w:pBdr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ToolkitHeading3Char">
    <w:name w:val="ToolkitHeading3 Char"/>
    <w:basedOn w:val="Heading3Char"/>
    <w:link w:val="ToolkitHeading3"/>
    <w:rsid w:val="0093298E"/>
    <w:rPr>
      <w:rFonts w:eastAsiaTheme="majorEastAsia" w:cs="Arial"/>
      <w:b/>
      <w:bCs/>
      <w:color w:val="345C8C"/>
      <w:sz w:val="28"/>
      <w:szCs w:val="28"/>
      <w:lang w:eastAsia="en-CA"/>
    </w:rPr>
  </w:style>
  <w:style w:type="paragraph" w:customStyle="1" w:styleId="InfoBoxHeading">
    <w:name w:val="InfoBox Heading"/>
    <w:basedOn w:val="Normal"/>
    <w:link w:val="InfoBoxHeadingChar"/>
    <w:qFormat/>
    <w:rsid w:val="00E64147"/>
    <w:pPr>
      <w:spacing w:after="0" w:line="240" w:lineRule="auto"/>
      <w:ind w:left="360"/>
    </w:pPr>
    <w:rPr>
      <w:rFonts w:cstheme="minorHAnsi"/>
      <w:b/>
      <w:color w:val="345C8C"/>
    </w:rPr>
  </w:style>
  <w:style w:type="paragraph" w:customStyle="1" w:styleId="ToolkitLinkResource">
    <w:name w:val="Toolkit Link/Resource"/>
    <w:basedOn w:val="Normal"/>
    <w:link w:val="ToolkitLinkResourceChar"/>
    <w:qFormat/>
    <w:rsid w:val="004366D6"/>
    <w:pPr>
      <w:tabs>
        <w:tab w:val="center" w:pos="4680"/>
      </w:tabs>
      <w:spacing w:after="0" w:line="240" w:lineRule="auto"/>
    </w:pPr>
    <w:rPr>
      <w:rFonts w:ascii="Arial" w:hAnsi="Arial" w:cs="Arial"/>
      <w:i/>
      <w:color w:val="4F81BD"/>
    </w:rPr>
  </w:style>
  <w:style w:type="character" w:customStyle="1" w:styleId="InfoBoxHeadingChar">
    <w:name w:val="InfoBox Heading Char"/>
    <w:basedOn w:val="DefaultParagraphFont"/>
    <w:link w:val="InfoBoxHeading"/>
    <w:rsid w:val="00E64147"/>
    <w:rPr>
      <w:rFonts w:cstheme="minorHAnsi"/>
      <w:b/>
      <w:color w:val="345C8C"/>
    </w:rPr>
  </w:style>
  <w:style w:type="character" w:customStyle="1" w:styleId="Heading4Char">
    <w:name w:val="Heading 4 Char"/>
    <w:basedOn w:val="DefaultParagraphFont"/>
    <w:link w:val="Heading4"/>
    <w:uiPriority w:val="9"/>
    <w:rsid w:val="00F26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olkitLinkResourceChar">
    <w:name w:val="Toolkit Link/Resource Char"/>
    <w:basedOn w:val="DefaultParagraphFont"/>
    <w:link w:val="ToolkitLinkResource"/>
    <w:rsid w:val="004366D6"/>
    <w:rPr>
      <w:rFonts w:ascii="Arial" w:hAnsi="Arial" w:cs="Arial"/>
      <w:i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61CD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A22A-72FA-4D7E-9F0C-4516C02F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Kirsten P EMBC:EX</dc:creator>
  <cp:lastModifiedBy>Hunter, Kirsten P EMBC:EX</cp:lastModifiedBy>
  <cp:revision>2</cp:revision>
  <dcterms:created xsi:type="dcterms:W3CDTF">2019-03-01T20:51:00Z</dcterms:created>
  <dcterms:modified xsi:type="dcterms:W3CDTF">2019-03-01T20:51:00Z</dcterms:modified>
</cp:coreProperties>
</file>