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C" w:rsidRPr="00C331E9" w:rsidRDefault="00AB56FC" w:rsidP="00673BDE">
      <w:pPr>
        <w:pStyle w:val="Heading2"/>
        <w:rPr>
          <w:rFonts w:asciiTheme="minorHAnsi" w:hAnsiTheme="minorHAnsi"/>
          <w:color w:val="A0CF67"/>
          <w:sz w:val="48"/>
          <w:szCs w:val="48"/>
          <w:lang w:val="en-US" w:bidi="en-US"/>
        </w:rPr>
      </w:pPr>
      <w:bookmarkStart w:id="0" w:name="_Toc278293831"/>
      <w:r w:rsidRPr="00C331E9">
        <w:rPr>
          <w:rFonts w:asciiTheme="minorHAnsi" w:hAnsiTheme="minorHAnsi"/>
          <w:color w:val="A0CF67"/>
          <w:sz w:val="48"/>
          <w:szCs w:val="48"/>
          <w:lang w:val="en-US" w:bidi="en-US"/>
        </w:rPr>
        <w:t>Community Coordinator</w:t>
      </w:r>
      <w:bookmarkEnd w:id="0"/>
      <w:r w:rsidR="00D93E9F" w:rsidRPr="00C331E9">
        <w:rPr>
          <w:rFonts w:asciiTheme="minorHAnsi" w:hAnsiTheme="minorHAnsi"/>
          <w:color w:val="A0CF67"/>
          <w:sz w:val="48"/>
          <w:szCs w:val="48"/>
          <w:lang w:val="en-US" w:bidi="en-US"/>
        </w:rPr>
        <w:t xml:space="preserve"> Guidelines</w:t>
      </w:r>
    </w:p>
    <w:p w:rsidR="00AB56FC" w:rsidRPr="00262875" w:rsidRDefault="00AB56FC" w:rsidP="00AB56FC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</w:rPr>
      </w:pPr>
    </w:p>
    <w:p w:rsidR="00AB56FC" w:rsidRPr="003B462F" w:rsidRDefault="00AB56FC" w:rsidP="00AB5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To ensure age-friendly success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and help drive the process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it is important to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consider appointing a community coordinator</w:t>
      </w:r>
      <w:r w:rsidR="00E60C60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from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either within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or outside of</w:t>
      </w:r>
      <w:r w:rsidR="00C331E9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your local government. 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T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he coordinator could be a recreation facilitator, town planner or community 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organizer 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already working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or volunteering 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for the municipality, or if adequate funds are available, an external contractor hired specifically for this initiative. </w:t>
      </w:r>
      <w:r w:rsidR="00E60C60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Coordinator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s could also be chosen from the membership of local seniors</w:t>
      </w:r>
      <w:r w:rsidR="00CA4B2B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’</w:t>
      </w:r>
      <w:r w:rsidR="00F343E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organizations. </w:t>
      </w:r>
      <w:r w:rsidR="00B80907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Funding from Union of B.C. Municipalities grants could be used to support this position. 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Responsibilities may also be shared between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staff, or staff and volunteers.</w:t>
      </w:r>
    </w:p>
    <w:p w:rsidR="00CA4B2B" w:rsidRPr="003B462F" w:rsidRDefault="00CA4B2B" w:rsidP="00AB5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B56FC" w:rsidRPr="003B462F" w:rsidRDefault="00AB56FC" w:rsidP="009C4125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Responsibilities of the community coordinator may include</w:t>
      </w:r>
      <w:r w:rsidR="004A4FA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any, or all, of the following</w:t>
      </w:r>
      <w:r w:rsidR="009C412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p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romoting the project in the community and interacting with local media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f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unctioning as a liaison between the community, town council, municipal staff and non-governmental organizations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bCs/>
          <w:sz w:val="28"/>
          <w:szCs w:val="28"/>
        </w:rPr>
        <w:t>l</w:t>
      </w:r>
      <w:r w:rsidR="00AB56FC" w:rsidRPr="003B462F">
        <w:rPr>
          <w:rFonts w:ascii="Times New Roman" w:eastAsiaTheme="minorEastAsia" w:hAnsi="Times New Roman" w:cs="Times New Roman"/>
          <w:bCs/>
          <w:sz w:val="28"/>
          <w:szCs w:val="28"/>
        </w:rPr>
        <w:t>iaising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with the Age-friendly B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ritish 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olumbia c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oordinator</w:t>
      </w:r>
      <w:r w:rsidR="003E6AB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(email:</w:t>
      </w:r>
      <w:r w:rsidR="003E6AB4" w:rsidRPr="003E6AB4">
        <w:rPr>
          <w:rFonts w:ascii="Times New Roman" w:eastAsiaTheme="minorEastAsia" w:hAnsi="Times New Roman" w:cs="Times New Roman"/>
          <w:b/>
          <w:color w:val="234075"/>
          <w:sz w:val="28"/>
          <w:szCs w:val="28"/>
        </w:rPr>
        <w:t xml:space="preserve"> </w:t>
      </w:r>
      <w:r w:rsidR="003E6AB4" w:rsidRPr="00E75627">
        <w:rPr>
          <w:rFonts w:ascii="Times New Roman" w:eastAsiaTheme="minorEastAsia" w:hAnsi="Times New Roman" w:cs="Times New Roman"/>
          <w:b/>
          <w:color w:val="234075"/>
          <w:sz w:val="28"/>
          <w:szCs w:val="28"/>
        </w:rPr>
        <w:t>AgeFriendlyBC@gov.bc.ca</w:t>
      </w:r>
      <w:r w:rsidR="003E6AB4" w:rsidRPr="003E6AB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and using the available age-friendly tools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helping to set up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an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age-friendly advisory</w:t>
      </w:r>
      <w:r w:rsidR="00B80907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or</w:t>
      </w:r>
      <w:r w:rsidR="00E86DF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steering committee, and working closely with </w:t>
      </w:r>
      <w:r w:rsidR="004A4FA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it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h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elping 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to 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organize focus groups and/or town meetings, including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b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ooking rooms (consideration should be given to accessibility)</w:t>
      </w:r>
      <w:r w:rsidR="009C412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ordering refreshments</w:t>
      </w:r>
      <w:r w:rsidR="009C412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e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ncouraging community mem</w:t>
      </w:r>
      <w:r w:rsidR="00CA4B2B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bers to attend and participate</w:t>
      </w:r>
      <w:r w:rsidR="009C412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C4125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and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e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nsuring that participants have access to transportation and/or parking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h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elping monitor the advisory</w:t>
      </w:r>
      <w:r w:rsidR="00B80907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or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steering committee’s progress and evaluating outcomes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bCs/>
          <w:sz w:val="28"/>
          <w:szCs w:val="28"/>
        </w:rPr>
        <w:t>p</w:t>
      </w:r>
      <w:r w:rsidR="00AB56FC" w:rsidRPr="003B462F">
        <w:rPr>
          <w:rFonts w:ascii="Times New Roman" w:eastAsiaTheme="minorEastAsia" w:hAnsi="Times New Roman" w:cs="Times New Roman"/>
          <w:bCs/>
          <w:sz w:val="28"/>
          <w:szCs w:val="28"/>
        </w:rPr>
        <w:t>roviding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leadership in applying for funding</w:t>
      </w:r>
      <w:r w:rsidR="00DA2BF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A4FAD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and</w:t>
      </w:r>
    </w:p>
    <w:p w:rsidR="00AB56FC" w:rsidRPr="003B462F" w:rsidRDefault="0035737A" w:rsidP="009C41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c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ompleting</w:t>
      </w:r>
      <w:proofErr w:type="gramEnd"/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updates and reports for funders once initiatives are underway.</w:t>
      </w:r>
    </w:p>
    <w:p w:rsidR="00AB56FC" w:rsidRPr="003B462F" w:rsidRDefault="00AB56FC" w:rsidP="00AB5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AB56FC" w:rsidRPr="003B462F" w:rsidRDefault="00DA2BFD" w:rsidP="00AB56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T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his is </w:t>
      </w:r>
      <w:r w:rsidR="00CA4B2B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not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an exhaustive list for the community coordinator’s role in your age-friendly initiative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t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hese are merely guidelines to help you think about what is required to help you</w:t>
      </w:r>
      <w:r w:rsidR="00FB3516">
        <w:rPr>
          <w:rFonts w:ascii="Times New Roman" w:eastAsiaTheme="minorEastAsia" w:hAnsi="Times New Roman" w:cs="Times New Roman"/>
          <w:color w:val="000000"/>
          <w:sz w:val="28"/>
          <w:szCs w:val="28"/>
        </w:rPr>
        <w:t>r community</w:t>
      </w:r>
      <w:r w:rsidR="00AB56FC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become</w:t>
      </w:r>
      <w:r w:rsidR="00FB351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72094" w:rsidRPr="003B462F">
        <w:rPr>
          <w:rFonts w:ascii="Times New Roman" w:eastAsiaTheme="minorEastAsia" w:hAnsi="Times New Roman" w:cs="Times New Roman"/>
          <w:color w:val="000000"/>
          <w:sz w:val="28"/>
          <w:szCs w:val="28"/>
        </w:rPr>
        <w:t>more age-friendly.</w:t>
      </w:r>
    </w:p>
    <w:p w:rsidR="00470288" w:rsidRPr="003B462F" w:rsidRDefault="00470288">
      <w:pPr>
        <w:rPr>
          <w:sz w:val="28"/>
          <w:szCs w:val="28"/>
        </w:rPr>
      </w:pPr>
    </w:p>
    <w:sectPr w:rsidR="00470288" w:rsidRPr="003B462F" w:rsidSect="005B4181">
      <w:headerReference w:type="default" r:id="rId7"/>
      <w:footerReference w:type="default" r:id="rId8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A" w:rsidRDefault="0035737A" w:rsidP="00194104">
      <w:pPr>
        <w:spacing w:after="0" w:line="240" w:lineRule="auto"/>
      </w:pPr>
      <w:r>
        <w:separator/>
      </w:r>
    </w:p>
  </w:endnote>
  <w:endnote w:type="continuationSeparator" w:id="0">
    <w:p w:rsidR="0035737A" w:rsidRDefault="0035737A" w:rsidP="0019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A0CF67"/>
        <w:sz w:val="28"/>
        <w:szCs w:val="28"/>
      </w:rPr>
      <w:id w:val="790593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b/>
            <w:color w:val="A0CF67"/>
            <w:sz w:val="28"/>
            <w:szCs w:val="28"/>
          </w:rPr>
          <w:id w:val="721465062"/>
          <w:docPartObj>
            <w:docPartGallery w:val="Page Numbers (Bottom of Page)"/>
            <w:docPartUnique/>
          </w:docPartObj>
        </w:sdtPr>
        <w:sdtEndPr>
          <w:rPr>
            <w:sz w:val="48"/>
            <w:szCs w:val="48"/>
          </w:rPr>
        </w:sdtEndPr>
        <w:sdtContent>
          <w:p w:rsidR="00A15947" w:rsidRDefault="0073090A" w:rsidP="00A15947">
            <w:pPr>
              <w:pStyle w:val="Footer"/>
              <w:tabs>
                <w:tab w:val="left" w:pos="-360"/>
                <w:tab w:val="left" w:pos="990"/>
                <w:tab w:val="left" w:pos="5580"/>
                <w:tab w:val="left" w:pos="6300"/>
              </w:tabs>
              <w:ind w:left="450" w:firstLine="990"/>
              <w:rPr>
                <w:b/>
                <w:color w:val="A0CF67"/>
                <w:sz w:val="28"/>
                <w:szCs w:val="28"/>
              </w:rPr>
            </w:pPr>
            <w:r>
              <w:rPr>
                <w:b/>
                <w:noProof/>
                <w:color w:val="A0CF67"/>
                <w:sz w:val="28"/>
                <w:szCs w:val="28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-60pt;margin-top:81.6pt;width:90.75pt;height:23.55pt;z-index:251659264;mso-position-horizontal-relative:text;mso-position-vertical-relative:text;mso-width-relative:margin;mso-height-relative:margin" filled="f" stroked="f">
                  <v:textbox>
                    <w:txbxContent>
                      <w:p w:rsidR="00904C0F" w:rsidRPr="00C9116D" w:rsidRDefault="00904C0F" w:rsidP="00904C0F">
                        <w:p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C9116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Updated</w:t>
                        </w:r>
                        <w: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>: Jan</w:t>
                        </w:r>
                        <w:r w:rsidRPr="00C9116D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2014</w:t>
                        </w:r>
                      </w:p>
                      <w:p w:rsidR="00904C0F" w:rsidRPr="00C17156" w:rsidRDefault="00904C0F" w:rsidP="00904C0F"/>
                    </w:txbxContent>
                  </v:textbox>
                </v:shape>
              </w:pict>
            </w:r>
          </w:p>
          <w:p w:rsidR="0035737A" w:rsidRPr="00A15947" w:rsidRDefault="0098641B" w:rsidP="005B4181">
            <w:pPr>
              <w:pStyle w:val="Footer"/>
              <w:tabs>
                <w:tab w:val="left" w:pos="-360"/>
                <w:tab w:val="left" w:pos="990"/>
                <w:tab w:val="left" w:pos="5580"/>
                <w:tab w:val="left" w:pos="6300"/>
              </w:tabs>
              <w:rPr>
                <w:b/>
                <w:color w:val="A0CF67"/>
                <w:sz w:val="32"/>
                <w:szCs w:val="32"/>
              </w:rPr>
            </w:pPr>
            <w:r>
              <w:rPr>
                <w:b/>
                <w:noProof/>
                <w:color w:val="A0CF67"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50165</wp:posOffset>
                  </wp:positionV>
                  <wp:extent cx="1897380" cy="733425"/>
                  <wp:effectExtent l="19050" t="0" r="7620" b="0"/>
                  <wp:wrapSquare wrapText="bothSides"/>
                  <wp:docPr id="4" name="Picture 1" descr="HealthyFamiliesBC_Stacke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yFamiliesBC_Stacke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181">
              <w:rPr>
                <w:b/>
                <w:color w:val="A0CF67"/>
                <w:sz w:val="28"/>
                <w:szCs w:val="28"/>
              </w:rPr>
              <w:t xml:space="preserve">               </w:t>
            </w:r>
            <w:r w:rsidR="005B4181">
              <w:rPr>
                <w:b/>
                <w:color w:val="A0CF67"/>
                <w:sz w:val="28"/>
                <w:szCs w:val="28"/>
              </w:rPr>
              <w:tab/>
            </w:r>
            <w:r w:rsidR="005B4181">
              <w:rPr>
                <w:b/>
                <w:color w:val="A0CF67"/>
                <w:sz w:val="28"/>
                <w:szCs w:val="28"/>
              </w:rPr>
              <w:tab/>
            </w:r>
            <w:r w:rsidR="005B4181">
              <w:rPr>
                <w:b/>
                <w:color w:val="A0CF67"/>
                <w:sz w:val="28"/>
                <w:szCs w:val="28"/>
              </w:rPr>
              <w:tab/>
            </w:r>
            <w:r>
              <w:rPr>
                <w:b/>
                <w:color w:val="A0CF67"/>
                <w:sz w:val="28"/>
                <w:szCs w:val="28"/>
              </w:rPr>
              <w:t xml:space="preserve">     </w:t>
            </w:r>
            <w:r w:rsidR="005B4181">
              <w:rPr>
                <w:b/>
                <w:color w:val="A0CF67"/>
                <w:sz w:val="28"/>
                <w:szCs w:val="28"/>
              </w:rPr>
              <w:t xml:space="preserve">     </w:t>
            </w:r>
            <w:r w:rsidR="005B4181">
              <w:rPr>
                <w:b/>
                <w:noProof/>
                <w:color w:val="A0CF67"/>
                <w:sz w:val="28"/>
                <w:szCs w:val="28"/>
                <w:lang w:eastAsia="en-CA"/>
              </w:rPr>
              <w:drawing>
                <wp:inline distT="0" distB="0" distL="0" distR="0">
                  <wp:extent cx="850900" cy="842645"/>
                  <wp:effectExtent l="19050" t="0" r="6350" b="0"/>
                  <wp:docPr id="3" name="Picture 2" descr="AgeFriendly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Friendly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A" w:rsidRDefault="0035737A" w:rsidP="00194104">
      <w:pPr>
        <w:spacing w:after="0" w:line="240" w:lineRule="auto"/>
      </w:pPr>
      <w:r>
        <w:separator/>
      </w:r>
    </w:p>
  </w:footnote>
  <w:footnote w:type="continuationSeparator" w:id="0">
    <w:p w:rsidR="0035737A" w:rsidRDefault="0035737A" w:rsidP="0019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A" w:rsidRDefault="0073090A">
    <w:pPr>
      <w:pStyle w:val="Head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-35.3pt;width:611.7pt;height:61.2pt;z-index:251658240" fillcolor="#c3e0a0" stroked="f">
          <v:textbox>
            <w:txbxContent>
              <w:p w:rsidR="003B462F" w:rsidRDefault="003B462F" w:rsidP="003B462F"/>
              <w:p w:rsidR="003B462F" w:rsidRDefault="003B462F" w:rsidP="003B462F"/>
              <w:p w:rsidR="003B462F" w:rsidRDefault="003B462F" w:rsidP="003B462F"/>
              <w:p w:rsidR="003B462F" w:rsidRDefault="003B462F" w:rsidP="003B462F"/>
              <w:p w:rsidR="003B462F" w:rsidRDefault="003B462F" w:rsidP="003B462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E44"/>
    <w:multiLevelType w:val="hybridMultilevel"/>
    <w:tmpl w:val="8BA4A5A2"/>
    <w:lvl w:ilvl="0" w:tplc="6A44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4075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E7F26"/>
    <w:multiLevelType w:val="hybridMultilevel"/>
    <w:tmpl w:val="BDCA5D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6FC"/>
    <w:rsid w:val="00121868"/>
    <w:rsid w:val="00131FAF"/>
    <w:rsid w:val="00147C96"/>
    <w:rsid w:val="00194104"/>
    <w:rsid w:val="002B78D0"/>
    <w:rsid w:val="002D64F2"/>
    <w:rsid w:val="00355E9A"/>
    <w:rsid w:val="0035737A"/>
    <w:rsid w:val="00360090"/>
    <w:rsid w:val="003938F1"/>
    <w:rsid w:val="003B462F"/>
    <w:rsid w:val="003E6AB4"/>
    <w:rsid w:val="00414AA2"/>
    <w:rsid w:val="00470288"/>
    <w:rsid w:val="004A4FAD"/>
    <w:rsid w:val="004E3451"/>
    <w:rsid w:val="00551383"/>
    <w:rsid w:val="00560CC5"/>
    <w:rsid w:val="00596428"/>
    <w:rsid w:val="005B4181"/>
    <w:rsid w:val="00622A90"/>
    <w:rsid w:val="00673BDE"/>
    <w:rsid w:val="00677D07"/>
    <w:rsid w:val="007079EB"/>
    <w:rsid w:val="0073090A"/>
    <w:rsid w:val="008C7B08"/>
    <w:rsid w:val="00904C0F"/>
    <w:rsid w:val="00972094"/>
    <w:rsid w:val="00972E6D"/>
    <w:rsid w:val="00983826"/>
    <w:rsid w:val="0098641B"/>
    <w:rsid w:val="009C4125"/>
    <w:rsid w:val="009E2B10"/>
    <w:rsid w:val="00A056D0"/>
    <w:rsid w:val="00A15947"/>
    <w:rsid w:val="00A770DE"/>
    <w:rsid w:val="00AA134B"/>
    <w:rsid w:val="00AB3B7F"/>
    <w:rsid w:val="00AB56FC"/>
    <w:rsid w:val="00AD28FF"/>
    <w:rsid w:val="00B56E52"/>
    <w:rsid w:val="00B80907"/>
    <w:rsid w:val="00B87E9D"/>
    <w:rsid w:val="00BE1C3D"/>
    <w:rsid w:val="00C13C6D"/>
    <w:rsid w:val="00C331E9"/>
    <w:rsid w:val="00C50D9C"/>
    <w:rsid w:val="00CA4B2B"/>
    <w:rsid w:val="00CD6E6A"/>
    <w:rsid w:val="00CE533F"/>
    <w:rsid w:val="00D16DEE"/>
    <w:rsid w:val="00D63529"/>
    <w:rsid w:val="00D93E9F"/>
    <w:rsid w:val="00DA2BFD"/>
    <w:rsid w:val="00E60C60"/>
    <w:rsid w:val="00E86DF5"/>
    <w:rsid w:val="00ED6790"/>
    <w:rsid w:val="00F072ED"/>
    <w:rsid w:val="00F12BD5"/>
    <w:rsid w:val="00F1558C"/>
    <w:rsid w:val="00F343E4"/>
    <w:rsid w:val="00FB3516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104"/>
  </w:style>
  <w:style w:type="paragraph" w:styleId="Footer">
    <w:name w:val="footer"/>
    <w:basedOn w:val="Normal"/>
    <w:link w:val="FooterChar"/>
    <w:uiPriority w:val="99"/>
    <w:unhideWhenUsed/>
    <w:rsid w:val="00194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04"/>
  </w:style>
  <w:style w:type="character" w:customStyle="1" w:styleId="Heading2Char">
    <w:name w:val="Heading 2 Char"/>
    <w:basedOn w:val="DefaultParagraphFont"/>
    <w:link w:val="Heading2"/>
    <w:uiPriority w:val="9"/>
    <w:rsid w:val="00673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Mallhi</dc:creator>
  <cp:lastModifiedBy>megdol</cp:lastModifiedBy>
  <cp:revision>10</cp:revision>
  <dcterms:created xsi:type="dcterms:W3CDTF">2011-08-23T23:30:00Z</dcterms:created>
  <dcterms:modified xsi:type="dcterms:W3CDTF">2014-02-18T22:06:00Z</dcterms:modified>
</cp:coreProperties>
</file>